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adjustRightInd/>
        <w:snapToGrid/>
        <w:spacing w:before="0" w:beforeLines="0" w:after="0" w:afterLines="0" w:line="578" w:lineRule="exact"/>
        <w:ind w:left="0" w:leftChars="0" w:right="0" w:firstLine="0" w:firstLineChars="0"/>
        <w:jc w:val="both"/>
        <w:outlineLvl w:val="9"/>
        <w:rPr>
          <w:rFonts w:hint="eastAsia" w:ascii="方正黑体_GBK" w:hAnsi="方正黑体_GBK" w:eastAsia="方正黑体_GBK" w:cs="Times New Roman"/>
          <w:sz w:val="30"/>
        </w:rPr>
      </w:pPr>
      <w:r>
        <w:rPr>
          <w:rFonts w:hint="eastAsia" w:ascii="方正黑体_GBK" w:hAnsi="方正黑体_GBK" w:eastAsia="方正黑体_GBK" w:cs="Times New Roman"/>
          <w:sz w:val="30"/>
          <w:lang w:eastAsia="zh-CN"/>
        </w:rPr>
        <w:t>附件</w:t>
      </w:r>
    </w:p>
    <w:p>
      <w:pPr>
        <w:widowControl w:val="0"/>
        <w:adjustRightInd/>
        <w:snapToGrid/>
        <w:spacing w:before="0" w:beforeLines="0" w:after="0" w:afterLines="0" w:line="578" w:lineRule="exact"/>
        <w:ind w:left="0" w:leftChars="0" w:right="0" w:firstLine="0" w:firstLineChars="0"/>
        <w:jc w:val="both"/>
        <w:outlineLvl w:val="9"/>
        <w:rPr>
          <w:rFonts w:hint="default" w:ascii="Times New Roman" w:hAnsi="Times New Roman" w:eastAsia="方正仿宋_GBK" w:cs="Times New Roman"/>
          <w:sz w:val="32"/>
        </w:rPr>
      </w:pPr>
    </w:p>
    <w:p>
      <w:pPr>
        <w:widowControl w:val="0"/>
        <w:adjustRightInd/>
        <w:snapToGrid/>
        <w:spacing w:before="0" w:beforeLines="0" w:after="0" w:afterLines="0" w:line="578" w:lineRule="exact"/>
        <w:ind w:left="0" w:leftChars="0" w:right="0" w:firstLine="0" w:firstLineChars="0"/>
        <w:jc w:val="center"/>
        <w:outlineLvl w:val="9"/>
        <w:rPr>
          <w:rFonts w:hint="eastAsia" w:ascii="方正小标宋_GBK" w:hAnsi="方正小标宋_GBK" w:eastAsia="方正小标宋_GBK" w:cs="Times New Roman"/>
          <w:sz w:val="40"/>
        </w:rPr>
      </w:pPr>
      <w:bookmarkStart w:id="0" w:name="_GoBack"/>
      <w:r>
        <w:rPr>
          <w:rFonts w:hint="eastAsia" w:ascii="方正小标宋_GBK" w:hAnsi="方正小标宋_GBK" w:eastAsia="方正小标宋_GBK" w:cs="Times New Roman"/>
          <w:sz w:val="40"/>
        </w:rPr>
        <w:t>国家能源局2020年度能源软科学研究选题指南</w:t>
      </w:r>
    </w:p>
    <w:bookmarkEnd w:id="0"/>
    <w:p>
      <w:pPr>
        <w:widowControl w:val="0"/>
        <w:adjustRightInd/>
        <w:snapToGrid/>
        <w:spacing w:before="0" w:beforeLines="0" w:after="0" w:afterLines="0" w:line="578" w:lineRule="exact"/>
        <w:ind w:left="0" w:leftChars="0" w:firstLine="0" w:firstLineChars="0"/>
        <w:jc w:val="left"/>
        <w:outlineLvl w:val="9"/>
        <w:rPr>
          <w:rFonts w:hint="default" w:ascii="Times New Roman" w:hAnsi="Times New Roman" w:eastAsia="方正仿宋_GBK" w:cs="Times New Roman"/>
          <w:sz w:val="32"/>
        </w:rPr>
      </w:pP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eastAsia" w:ascii="方正黑体_GBK" w:hAnsi="方正黑体_GBK" w:eastAsia="方正黑体_GBK" w:cs="Times New Roman"/>
          <w:sz w:val="30"/>
        </w:rPr>
      </w:pPr>
      <w:r>
        <w:rPr>
          <w:rFonts w:hint="eastAsia" w:ascii="方正黑体_GBK" w:hAnsi="方正黑体_GBK" w:eastAsia="方正黑体_GBK" w:cs="Times New Roman"/>
          <w:sz w:val="30"/>
        </w:rPr>
        <w:t>一、综合类选题</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1.现代化能源体系结构、模式与路径研究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2.疫情后能源产业链、供应链变化与对策研究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3.促进储能产业发展政策研究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4.清洁能源消纳长效机制研究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5.清洁取暖成本特性和支持政策研究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6.能源行业节能管理体制机制研究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7.我国建筑节能的重要意义及相关政策措施建议</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8.我国能源资源综合规划相关体制机制研究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9.能源领域制度型开放重点问题研究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10.能源法法律制度及实施机制研究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11.能源储备与应急法制建设问题研究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12.电力市场化改革条件下</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电力法</w:t>
      </w:r>
      <w:r>
        <w:rPr>
          <w:rFonts w:hint="eastAsia" w:ascii="Times New Roman" w:hAnsi="Times New Roman" w:eastAsia="方正仿宋_GBK" w:cs="Times New Roman"/>
          <w:sz w:val="30"/>
          <w:lang w:eastAsia="zh-CN"/>
        </w:rPr>
        <w:t>》</w:t>
      </w:r>
      <w:r>
        <w:rPr>
          <w:rFonts w:hint="default" w:ascii="Times New Roman" w:hAnsi="Times New Roman" w:eastAsia="方正仿宋_GBK" w:cs="Times New Roman"/>
          <w:sz w:val="30"/>
        </w:rPr>
        <w:t>修订问题研究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13.能源领域新型标准体系研究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14.能源科技研发创新体制机制研究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15.能源领域关键技术创新路线研究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16.5G、人工智能、区块链、“互联网+”等新技术在能源领域的应用研究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17.能源领域各类数据系统和信息平台的对接整合与能源数据中心建设研究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18.能源技术国际合作模式研究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19.中欧能源合作的前景与方向</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20.“一带一路”沿线国家能源可及性研究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21.重大突发事件对海外能源合作的影响及防范措施研究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22.国际能源监管发展趋势及合作路径研究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23.落实“放管服”改革部署强化能源监管研究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24.能源规划评估与监管体制机制研究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25.以信用为基础的新型能源监管机制研究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26.政府监管领域公益性热线工作成效指标体系研究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27.能源行业行政执法工作面临的法律风险及防控策略研究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28.能源行业行政处罚与刑事司法衔接问题研究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方正黑体_GBK" w:hAnsi="方正黑体_GBK" w:eastAsia="方正黑体_GBK" w:cs="Times New Roman"/>
          <w:sz w:val="30"/>
        </w:rPr>
      </w:pPr>
      <w:r>
        <w:rPr>
          <w:rFonts w:hint="default" w:ascii="方正黑体_GBK" w:hAnsi="方正黑体_GBK" w:eastAsia="方正黑体_GBK" w:cs="Times New Roman"/>
          <w:sz w:val="30"/>
        </w:rPr>
        <w:t>二、电力类选题</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29.市场化条件下电力需求侧响应政策措施研究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30.电网主网架发展思路研究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31.电力系统调节能力提升规划和路径研究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32.西电东送可持续性研究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33.“十四五”农村电力发展思路研究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34.煤电未来定位及清洁高效发展路径研究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35.电力系统储能技术发展路径和实施方案研究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36.基于配电网的综合能源发展模式研究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37.核电/电力/能源领域科研设施开放共享机制研究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38.电动汽车充电基础设施发展规划研究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39.未来我国电力市场格局和目标模式研究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40.跨省跨区电力辅助服务市场机制研究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41.深化输配电价改革研究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42.电力市场建设成效阶段性评估和监管措施研究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43.电力安全生产相关重大问题研究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44.提高电力安全监管效能研究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45.电网结构性风险及电力设备风险管控研究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46.电力应急管理体系和能力现代化研究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47.基于安全性、充裕性管理的大电力系统可靠性管理模式研究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48.电力新型业态组织（包括具有配电网经营权的售电公司、微电网、局域电网等）应急能力建设研究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49.基于电力建设工程施工安全管理的“智慧工地”研究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方正黑体_GBK" w:hAnsi="方正黑体_GBK" w:eastAsia="方正黑体_GBK" w:cs="Times New Roman"/>
          <w:sz w:val="30"/>
        </w:rPr>
      </w:pPr>
      <w:r>
        <w:rPr>
          <w:rFonts w:hint="default" w:ascii="方正黑体_GBK" w:hAnsi="方正黑体_GBK" w:eastAsia="方正黑体_GBK" w:cs="Times New Roman"/>
          <w:sz w:val="30"/>
        </w:rPr>
        <w:t>三、煤炭类</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50.煤炭绿色开发政策措施研究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51.煤矿合理服务年限标准研究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52.资源枯竭煤矿退出机制研究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53.优化煤层气（煤矿瓦斯）抽采利用政策环境研究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54.煤与各类共伴生资源协调开发模式研究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55.煤炭清洁高效利用政策研究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56.煤炭深加工产业发展路径及对策措施研究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57.煤矿建设项目现场和非现场综合监管研究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58.全球煤炭国际贸易展望</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方正黑体_GBK" w:hAnsi="方正黑体_GBK" w:eastAsia="方正黑体_GBK" w:cs="Times New Roman"/>
          <w:sz w:val="30"/>
        </w:rPr>
      </w:pPr>
      <w:r>
        <w:rPr>
          <w:rFonts w:hint="default" w:ascii="方正黑体_GBK" w:hAnsi="方正黑体_GBK" w:eastAsia="方正黑体_GBK" w:cs="Times New Roman"/>
          <w:sz w:val="30"/>
        </w:rPr>
        <w:t>四、油气类选题</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59.我国油气田能源综合利用体制机制研究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60.新形势下天然气利用政策体系研究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61.油气管道保护政策机制研究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62.油气管网设施容量配置及调度监管规则等关键问题研究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63.储气调峰设施运营机制和储气库价格政策研究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64.国内外炼油发展形势分析及对策研究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65.推进我国石油天然气交易平台发展研究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66.区域天然气市场建设研究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67.燃料乙醇监管体系研究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方正黑体_GBK" w:hAnsi="方正黑体_GBK" w:eastAsia="方正黑体_GBK" w:cs="Times New Roman"/>
          <w:sz w:val="30"/>
        </w:rPr>
      </w:pPr>
      <w:r>
        <w:rPr>
          <w:rFonts w:hint="default" w:ascii="方正黑体_GBK" w:hAnsi="方正黑体_GBK" w:eastAsia="方正黑体_GBK" w:cs="Times New Roman"/>
          <w:sz w:val="30"/>
        </w:rPr>
        <w:t>五、新能源与可再生能源类选题</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68.我国中长期高比例可再生能源系统优化研究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69.平价时期新能源高质量发展政策和管理机制研究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70.西南地区重点水电工程开发建设时序及经济性分析</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71.抽水蓄能电站中长期发展规模及政策研究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72.流域水风光资源开发利用互补特性分析研究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73.深远海海上风电发展政策和机制研究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74.风电、光伏电站设备回收利用技术研究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75.光热发电发展路径研究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76.分布式光伏可持续发展研究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77.生物质清洁供暖供热政策研究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78.生物质发电长效发展机制及经济性提升路径研究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79.生物天然气商业发展模式和产业政策研究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80.氢能产业商业模式和体制机制研究</w:t>
      </w:r>
    </w:p>
    <w:p>
      <w:pPr>
        <w:widowControl w:val="0"/>
        <w:wordWrap/>
        <w:adjustRightInd/>
        <w:snapToGrid/>
        <w:spacing w:before="0" w:beforeLines="0" w:after="0" w:afterLines="0" w:line="578" w:lineRule="exact"/>
        <w:ind w:left="0" w:leftChars="0" w:right="0" w:firstLine="600" w:firstLineChars="200"/>
        <w:jc w:val="both"/>
        <w:textAlignment w:val="auto"/>
        <w:outlineLvl w:val="9"/>
        <w:rPr>
          <w:rFonts w:hint="default" w:ascii="Times New Roman" w:hAnsi="Times New Roman" w:eastAsia="方正仿宋_GBK" w:cs="Times New Roman"/>
          <w:sz w:val="30"/>
        </w:rPr>
      </w:pPr>
      <w:r>
        <w:rPr>
          <w:rFonts w:hint="default" w:ascii="Times New Roman" w:hAnsi="Times New Roman" w:eastAsia="方正仿宋_GBK" w:cs="Times New Roman"/>
          <w:sz w:val="30"/>
        </w:rPr>
        <w:t>81.地热能多元化规模利用制约性关键问题研究</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Arial"/>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1F00FF" w:csb1="FFFF0000"/>
  </w:font>
  <w:font w:name="MT Extra">
    <w:panose1 w:val="05050102010205020202"/>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27B76736"/>
    <w:rsid w:val="2C202DF2"/>
    <w:rsid w:val="2FD54BA9"/>
    <w:rsid w:val="35A65C4C"/>
    <w:rsid w:val="5472261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after="0" w:afterLines="0" w:line="346" w:lineRule="auto"/>
      <w:ind w:left="1" w:right="0" w:firstLine="419" w:firstLineChars="0"/>
      <w:jc w:val="both"/>
      <w:textAlignment w:val="bottom"/>
    </w:pPr>
    <w:rPr>
      <w:rFonts w:ascii="Times New Roman" w:hAnsi="Times New Roman" w:eastAsia="仿宋_GB2312" w:cs="黑体"/>
      <w:sz w:val="32"/>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goveditor</dc:creator>
  <cp:lastModifiedBy>Administrator</cp:lastModifiedBy>
  <dcterms:modified xsi:type="dcterms:W3CDTF">2020-07-08T02:28:37Z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